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126"/>
        <w:gridCol w:w="4394"/>
      </w:tblGrid>
      <w:tr w14:paraId="53B39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</w:trPr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3896B7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分值构成</w:t>
            </w:r>
          </w:p>
          <w:p w14:paraId="5DC0E849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（总分100分）</w:t>
            </w:r>
          </w:p>
        </w:tc>
        <w:tc>
          <w:tcPr>
            <w:tcW w:w="6520" w:type="dxa"/>
            <w:gridSpan w:val="2"/>
            <w:tcBorders>
              <w:left w:val="single" w:color="auto" w:sz="4" w:space="0"/>
            </w:tcBorders>
            <w:vAlign w:val="center"/>
          </w:tcPr>
          <w:p w14:paraId="7A56BF64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服务方案：45分</w:t>
            </w:r>
          </w:p>
          <w:p w14:paraId="7500810E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企业能力：18分</w:t>
            </w:r>
          </w:p>
          <w:p w14:paraId="4119BAB8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人员配备：10分</w:t>
            </w:r>
          </w:p>
          <w:p w14:paraId="1586B01A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学术水平：3分</w:t>
            </w:r>
          </w:p>
          <w:p w14:paraId="34D510B0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类似业绩：10分</w:t>
            </w:r>
          </w:p>
          <w:p w14:paraId="3374353C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管理体系：4分</w:t>
            </w:r>
          </w:p>
          <w:p w14:paraId="2C8C61AC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价格部分：10分</w:t>
            </w:r>
          </w:p>
        </w:tc>
      </w:tr>
      <w:tr w14:paraId="25102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4E45D22B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评分因素</w:t>
            </w:r>
          </w:p>
          <w:p w14:paraId="07B103B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及分值</w:t>
            </w: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 w14:paraId="49FB04E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各评分因素细分项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vAlign w:val="center"/>
          </w:tcPr>
          <w:p w14:paraId="2FB6B7AD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评分标准</w:t>
            </w:r>
          </w:p>
        </w:tc>
      </w:tr>
      <w:tr w14:paraId="2D7E6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1" w:type="dxa"/>
            <w:vMerge w:val="restart"/>
            <w:tcBorders>
              <w:left w:val="single" w:color="auto" w:sz="4" w:space="0"/>
            </w:tcBorders>
            <w:vAlign w:val="center"/>
          </w:tcPr>
          <w:p w14:paraId="49AF009D">
            <w:pPr>
              <w:rPr>
                <w:rFonts w:ascii="宋体" w:hAnsi="宋体"/>
                <w:b/>
                <w:bCs/>
                <w:szCs w:val="21"/>
              </w:rPr>
            </w:pPr>
          </w:p>
          <w:p w14:paraId="4F7CEF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服务方案</w:t>
            </w:r>
          </w:p>
          <w:p w14:paraId="7D46876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（45分）</w:t>
            </w:r>
          </w:p>
          <w:p w14:paraId="20E57E9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 w14:paraId="390D439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标本的收取、运输保管及保障措施</w:t>
            </w:r>
          </w:p>
          <w:p w14:paraId="26F54571"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（10分）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vAlign w:val="center"/>
          </w:tcPr>
          <w:p w14:paraId="393512E9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（1）标本的收取、运输保管流程规范、保障措施可行性强得10分；</w:t>
            </w:r>
          </w:p>
          <w:p w14:paraId="1C983D69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（2）标本的收取、运输保管流程较规范、保障措施可行性较强得9分；</w:t>
            </w:r>
          </w:p>
          <w:p w14:paraId="427D7758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（3）标本的收取、运输保管流程基本规范、保障措施可行性一般得8分；</w:t>
            </w:r>
          </w:p>
          <w:p w14:paraId="473E7D36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（4）标本的收取、运输保管流程不规范、保障措施可行性较差得7分；</w:t>
            </w:r>
          </w:p>
          <w:p w14:paraId="1080B917">
            <w:pPr>
              <w:pStyle w:val="3"/>
              <w:spacing w:after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（5）无标本的收取、运输保管及保障措施的得0分</w:t>
            </w:r>
            <w:r>
              <w:rPr>
                <w:rFonts w:hint="eastAsia" w:ascii="宋体" w:hAnsi="宋体"/>
                <w:sz w:val="21"/>
                <w:szCs w:val="21"/>
              </w:rPr>
              <w:t>。</w:t>
            </w:r>
          </w:p>
        </w:tc>
      </w:tr>
      <w:tr w14:paraId="46FF1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2E755C2E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 w14:paraId="4A847FF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检测检查项目及其检测检查方法</w:t>
            </w:r>
          </w:p>
          <w:p w14:paraId="56AC294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（15分）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vAlign w:val="center"/>
          </w:tcPr>
          <w:p w14:paraId="5DB566F1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（1）检测检查项目齐全、检测检查方法规范得15分；</w:t>
            </w:r>
          </w:p>
          <w:p w14:paraId="34F0192C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（2）检测检查项目较齐全、检测检查方法较规范得13分；</w:t>
            </w:r>
          </w:p>
          <w:p w14:paraId="0C89FAA1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（3）检测检查项目基本齐全、检测检查方法基本规范得11分；</w:t>
            </w:r>
          </w:p>
          <w:p w14:paraId="366056B5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（4）检测检查项目缺失严重、检测检查方法较不规范得9分；</w:t>
            </w:r>
          </w:p>
          <w:p w14:paraId="5F0DDB7D">
            <w:pPr>
              <w:pStyle w:val="3"/>
              <w:spacing w:after="0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（5）无检测检查项目及其检测检查方法得0分</w:t>
            </w:r>
            <w:r>
              <w:rPr>
                <w:rFonts w:hint="eastAsia" w:ascii="宋体" w:hAnsi="宋体"/>
                <w:sz w:val="21"/>
                <w:szCs w:val="21"/>
              </w:rPr>
              <w:t>。</w:t>
            </w:r>
          </w:p>
        </w:tc>
      </w:tr>
      <w:tr w14:paraId="47B8A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67B9564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 w14:paraId="1C77BDF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结果报告质量控制及其保障措施</w:t>
            </w:r>
          </w:p>
          <w:p w14:paraId="5C60357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（10分）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vAlign w:val="center"/>
          </w:tcPr>
          <w:p w14:paraId="38412CC2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（1）结果报告质量控制体系健全、保障措施可行性强得10分；</w:t>
            </w:r>
          </w:p>
          <w:p w14:paraId="5146FC29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（2）结果报告质量控制体系较健全、保障措施可行性较强得9分；</w:t>
            </w:r>
          </w:p>
          <w:p w14:paraId="555B9DB7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（3）结果报告质量控制体系基本健全、保障措施可行性一般得8分；</w:t>
            </w:r>
          </w:p>
          <w:p w14:paraId="5F33D6E3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（4）结果报告质量控制体系缺失严重、保障措施可行性差得7分；</w:t>
            </w:r>
          </w:p>
          <w:p w14:paraId="3FF7BA2A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（5）无结果报告质量控制体系和保障措施得0分。</w:t>
            </w:r>
          </w:p>
        </w:tc>
      </w:tr>
      <w:tr w14:paraId="61FDC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7BA17E2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 w14:paraId="28683B57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异常报告和报告异议处理流程及解决措施</w:t>
            </w:r>
          </w:p>
          <w:p w14:paraId="3FC7E5CE"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（5分）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vAlign w:val="center"/>
          </w:tcPr>
          <w:p w14:paraId="24584BFA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（1）异常报告和报告异议处理流程规范、解决措施恰当得5分；</w:t>
            </w:r>
          </w:p>
          <w:p w14:paraId="1FCC09BC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（2）异常报告和报告异议处理流程较规范、解决措施较恰当得4分；</w:t>
            </w:r>
          </w:p>
          <w:p w14:paraId="00D998B9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（3）异常报告和报告异议处理流程基本规范、解决措施基本恰当得3分；</w:t>
            </w:r>
          </w:p>
          <w:p w14:paraId="006132EA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（4）异常报告和报告异议处理流程规范性差、解决措施不当得2分；</w:t>
            </w:r>
          </w:p>
          <w:p w14:paraId="0E03661E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（5）无异常报告和报告异议处理流程及解决措施得0分。</w:t>
            </w:r>
          </w:p>
        </w:tc>
      </w:tr>
      <w:tr w14:paraId="48C13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005E16A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 w14:paraId="48E3971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检验前培训服务方案及保障措施</w:t>
            </w:r>
          </w:p>
          <w:p w14:paraId="7A1753E8"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（5分）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vAlign w:val="center"/>
          </w:tcPr>
          <w:p w14:paraId="61DE047A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（1）培训服务方案规范、保障措施可行得5分；</w:t>
            </w:r>
          </w:p>
          <w:p w14:paraId="2974E80C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（2）培训服务方案较规范、保障措施较可行得4分；</w:t>
            </w:r>
          </w:p>
          <w:p w14:paraId="1505D3F7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（3）培训服务方案基本规范、保障措施基本可行得3分；</w:t>
            </w:r>
          </w:p>
          <w:p w14:paraId="7A171277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（4）培训服务方案规范性差、保障措施可行性差得2分；</w:t>
            </w:r>
          </w:p>
          <w:p w14:paraId="2819212E">
            <w:pPr>
              <w:pStyle w:val="2"/>
              <w:keepNext w:val="0"/>
              <w:keepLines w:val="0"/>
              <w:spacing w:before="0" w:after="0" w:line="240" w:lineRule="auto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（5）无培训服务方案及保障措施得0分。</w:t>
            </w:r>
          </w:p>
        </w:tc>
      </w:tr>
      <w:tr w14:paraId="23C72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4988CC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企业能力</w:t>
            </w:r>
          </w:p>
          <w:p w14:paraId="75F364E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（18分）</w:t>
            </w:r>
          </w:p>
        </w:tc>
        <w:tc>
          <w:tcPr>
            <w:tcW w:w="6520" w:type="dxa"/>
            <w:gridSpan w:val="2"/>
            <w:vAlign w:val="center"/>
          </w:tcPr>
          <w:p w14:paraId="7C891ED9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（1）投标人具有有效的检验ISO15189实验室认可证书得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分；</w:t>
            </w:r>
          </w:p>
          <w:p w14:paraId="55783835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）投标人具有有效的ISO17025实验室认可体系证书得2分；</w:t>
            </w:r>
          </w:p>
          <w:p w14:paraId="0460B657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）投标人具有处于有效期内的CMA计量认证证书的得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分。</w:t>
            </w:r>
          </w:p>
          <w:p w14:paraId="7DA61B56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）投标人自2020年以来，获得省临检中心或卫生部临检中心“室间质评证书”的得0.5分/个，本项最高得10分。</w:t>
            </w:r>
          </w:p>
          <w:p w14:paraId="2CD5F28C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注：需提供相关证书的原件扫描件。</w:t>
            </w:r>
            <w:bookmarkStart w:id="0" w:name="_GoBack"/>
            <w:bookmarkEnd w:id="0"/>
          </w:p>
        </w:tc>
      </w:tr>
      <w:tr w14:paraId="132C4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61775F6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人员配备</w:t>
            </w:r>
          </w:p>
          <w:p w14:paraId="629C0B3B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（10分）</w:t>
            </w:r>
          </w:p>
        </w:tc>
        <w:tc>
          <w:tcPr>
            <w:tcW w:w="6520" w:type="dxa"/>
            <w:gridSpan w:val="2"/>
            <w:vAlign w:val="center"/>
          </w:tcPr>
          <w:p w14:paraId="1E42255E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（1）投标人具有卫生专业或医学专业高级以上职称人员的得1分/人；本项最高得5分（需提供职称证书原件扫描件）。</w:t>
            </w:r>
          </w:p>
          <w:p w14:paraId="1D9025A3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（2）投标人所属员工在医学会或专科分会任职的得1分/人；本项最高得5分（需提供医学会或专科分会聘用证书原件扫描件或官网查询截图）。</w:t>
            </w:r>
          </w:p>
          <w:p w14:paraId="07AB24F0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注：以上人员均需提供投标人为其缴纳的近一个月（或投标当月）的社保证明缴纳证明原件扫描件）；退休人员提供退休证和聘用合同。否则，该人员不予计分。</w:t>
            </w:r>
          </w:p>
        </w:tc>
      </w:tr>
      <w:tr w14:paraId="251D7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5E3E65B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学术水平</w:t>
            </w:r>
          </w:p>
          <w:p w14:paraId="25ECF96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（3分）</w:t>
            </w:r>
          </w:p>
        </w:tc>
        <w:tc>
          <w:tcPr>
            <w:tcW w:w="6520" w:type="dxa"/>
            <w:gridSpan w:val="2"/>
            <w:vAlign w:val="center"/>
          </w:tcPr>
          <w:p w14:paraId="1C0A4705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投标人20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年1月（发表日）以来，发表过与医学检验相关的SCI文章的得1分/篇，本项最高得3分（需提供包含论文发布媒介、发布时间、文章标题及作者的证明材料原件扫描件或官网查询截图）。</w:t>
            </w:r>
          </w:p>
        </w:tc>
      </w:tr>
      <w:tr w14:paraId="2C846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1426CB0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类似业绩</w:t>
            </w:r>
          </w:p>
          <w:p w14:paraId="414413D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（10分）</w:t>
            </w:r>
          </w:p>
        </w:tc>
        <w:tc>
          <w:tcPr>
            <w:tcW w:w="6520" w:type="dxa"/>
            <w:gridSpan w:val="2"/>
            <w:vAlign w:val="center"/>
          </w:tcPr>
          <w:p w14:paraId="4BA1037D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投标人自20</w:t>
            </w:r>
            <w:r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/>
                <w:b w:val="0"/>
                <w:sz w:val="21"/>
                <w:szCs w:val="21"/>
              </w:rPr>
              <w:t>年1月1日（合同签订日）以来，承接过三级（含）以上医院检验检查外送服务项目的得0.5分/个，最多得10分（需提供合同原件扫描件和医院等级官方查询截图）。</w:t>
            </w:r>
          </w:p>
        </w:tc>
      </w:tr>
      <w:tr w14:paraId="78B81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13CE7B9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管理体系</w:t>
            </w:r>
          </w:p>
          <w:p w14:paraId="7005237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（4分）</w:t>
            </w:r>
          </w:p>
        </w:tc>
        <w:tc>
          <w:tcPr>
            <w:tcW w:w="6520" w:type="dxa"/>
            <w:gridSpan w:val="2"/>
            <w:vAlign w:val="center"/>
          </w:tcPr>
          <w:p w14:paraId="35E65BD1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投标人具备有效期内的ISO9001质量管理体系认证证书、ISO14001环境管理体系认证证书、ISO45001职业健康安全管理体系认证证书、ISO27001信息安全管理体系认证证书的，每提供一份证书得1分，最多4分（需提供体系认证证书原件扫描件）。</w:t>
            </w:r>
          </w:p>
        </w:tc>
      </w:tr>
      <w:tr w14:paraId="50D9F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 w14:paraId="6168AE3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价格部分</w:t>
            </w:r>
          </w:p>
          <w:p w14:paraId="78A6D9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（10分）</w:t>
            </w:r>
          </w:p>
        </w:tc>
        <w:tc>
          <w:tcPr>
            <w:tcW w:w="6520" w:type="dxa"/>
            <w:gridSpan w:val="2"/>
            <w:vAlign w:val="center"/>
          </w:tcPr>
          <w:p w14:paraId="7997A90A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 xml:space="preserve">价格分采用低价优先法计算，即满足招标文件要求且投标价格最低的投标报价为评标基准价，其价格分为满分。其他投标人的价格分统一按照下列公式计算： </w:t>
            </w:r>
          </w:p>
          <w:p w14:paraId="12DF5F17">
            <w:pPr>
              <w:pStyle w:val="2"/>
              <w:keepNext w:val="0"/>
              <w:keepLines w:val="0"/>
              <w:spacing w:before="0" w:after="0" w:line="360" w:lineRule="exact"/>
              <w:ind w:firstLine="210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sz w:val="21"/>
                <w:szCs w:val="21"/>
              </w:rPr>
              <w:t>投标报价得分=（评标基准价/投标报价）×10。</w:t>
            </w:r>
          </w:p>
          <w:p w14:paraId="4BF84179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</w:t>
            </w:r>
          </w:p>
          <w:p w14:paraId="2A0B23C5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（1）投标报价=1-优惠率；</w:t>
            </w:r>
          </w:p>
          <w:p w14:paraId="6E0EC288">
            <w:pPr>
              <w:pStyle w:val="2"/>
              <w:keepNext w:val="0"/>
              <w:keepLines w:val="0"/>
              <w:spacing w:before="0" w:after="0"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（2）对符合条件的小型企业或微型企业或残疾人福利性企业或监狱企业，以投标报价扣除10%后的价格计算评标基准价和投标报价。</w:t>
            </w:r>
          </w:p>
        </w:tc>
      </w:tr>
    </w:tbl>
    <w:p w14:paraId="7FA6FD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1NDJkZmUzZDcxNTMwZGM0YjkzYjU5NmFhYzMwZGQifQ=="/>
  </w:docVars>
  <w:rsids>
    <w:rsidRoot w:val="00000000"/>
    <w:rsid w:val="05C27852"/>
    <w:rsid w:val="10DB2AA6"/>
    <w:rsid w:val="4D97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1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1"/>
    <w:pPr>
      <w:spacing w:after="120"/>
    </w:pPr>
    <w:rPr>
      <w:rFonts w:ascii="Times New Roman" w:hAnsi="Times New Roman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1700</Words>
  <Characters>1792</Characters>
  <Lines>0</Lines>
  <Paragraphs>0</Paragraphs>
  <TotalTime>0</TotalTime>
  <ScaleCrop>false</ScaleCrop>
  <LinksUpToDate>false</LinksUpToDate>
  <CharactersWithSpaces>1793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2024-08-15T07:45:00Z</dcterms:created>
  <dc:creator>ywk</dc:creator>
  <cp:lastModifiedBy>aquarius</cp:lastModifiedBy>
  <dcterms:modified xsi:type="dcterms:W3CDTF">2024-08-15T10:04:26Z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572995863684454C931037AC57B04D8F_12</vt:lpwstr>
  </property>
</Properties>
</file>